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rekonstravimas/_layouts/15/DocIdRedir.aspx?ID=PVIS-404251543-205</Url>
      <Description>PVIS-404251543-205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F65D3-97DF-4DED-A2F9-872DE4B3634D}"/>
</file>

<file path=customXml/itemProps3.xml><?xml version="1.0" encoding="utf-8"?>
<ds:datastoreItem xmlns:ds="http://schemas.openxmlformats.org/officeDocument/2006/customXml" ds:itemID="{4DDA72B4-318E-4069-AF1A-F379A4D4225E}"/>
</file>

<file path=customXml/itemProps4.xml><?xml version="1.0" encoding="utf-8"?>
<ds:datastoreItem xmlns:ds="http://schemas.openxmlformats.org/officeDocument/2006/customXml" ds:itemID="{9AFE5BBE-A270-475E-90DE-22C4FD2C54F7}"/>
</file>

<file path=customXml/itemProps5.xml><?xml version="1.0" encoding="utf-8"?>
<ds:datastoreItem xmlns:ds="http://schemas.openxmlformats.org/officeDocument/2006/customXml" ds:itemID="{9B9F89D2-7E9C-4124-A571-20F420BAC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0x01010066872F3CC8F7D84995438B893169A080020086F3AC6206BEAE4F9799B690E2C936D7</vt:lpwstr>
  </property>
  <property fmtid="{D5CDD505-2E9C-101B-9397-08002B2CF9AE}" pid="4" name="_dlc_DocIdItemGuid">
    <vt:lpwstr>fe87afa9-f0ef-48ca-9279-3cd51c105be0</vt:lpwstr>
  </property>
</Properties>
</file>